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Default="008A5A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8A5A89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Pr="008A5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Постмодернисттік әдебиеттегі драматизм</w:t>
      </w:r>
    </w:p>
    <w:p w:rsidR="008A5A89" w:rsidRDefault="00F774F4" w:rsidP="00F774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4F4">
        <w:rPr>
          <w:rFonts w:ascii="Times New Roman" w:hAnsi="Times New Roman" w:cs="Times New Roman"/>
          <w:sz w:val="28"/>
          <w:szCs w:val="28"/>
          <w:lang w:val="kk-KZ"/>
        </w:rPr>
        <w:t>Постмодернизм көркем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74F4">
        <w:rPr>
          <w:rFonts w:ascii="Times New Roman" w:hAnsi="Times New Roman" w:cs="Times New Roman"/>
          <w:sz w:val="28"/>
          <w:szCs w:val="28"/>
          <w:lang w:val="kk-KZ"/>
        </w:rPr>
        <w:t xml:space="preserve">бағыт ретінде.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«Тарихтың ақыры» концепциясы. Постмодерн </w:t>
      </w:r>
      <w:r w:rsidR="000B0E2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философиялық</w:t>
      </w:r>
      <w:r w:rsidR="000B0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жүйелердің кешені ретінде. Фуко, Р.Барт, Ж.Бордияр, М.Бланшо пікірлері. Постмодернизм философиясы. Постмодернизмнің «Бөтен» категориясына қатысы. Мағына энтропиясы. Материалдың деканонизациясы. Ойдан шығарылған дискурс. </w:t>
      </w:r>
      <w:r w:rsidR="000B0E27">
        <w:rPr>
          <w:rFonts w:ascii="Times New Roman" w:hAnsi="Times New Roman" w:cs="Times New Roman"/>
          <w:sz w:val="28"/>
          <w:szCs w:val="28"/>
          <w:lang w:val="kk-KZ"/>
        </w:rPr>
        <w:t xml:space="preserve">Постмодернизм поэтикасының элементтері. Қазақ постмодернисттік шығармаларындағы драматизмнің өзгешелігі. Р.Мұқанова, Д.Амантай, Т.Әсемқұлов, А.Алтай, Д.Рамазан  шығармаларындағы драматизм табиғаты. </w:t>
      </w:r>
    </w:p>
    <w:p w:rsidR="000B0E27" w:rsidRPr="00F774F4" w:rsidRDefault="000B0E27" w:rsidP="00F774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B0E27" w:rsidRPr="00F774F4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E4D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0E2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0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1BC6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5A89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3E4D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774F4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2015-09-21T03:55:00Z</dcterms:created>
  <dcterms:modified xsi:type="dcterms:W3CDTF">2015-09-22T11:40:00Z</dcterms:modified>
</cp:coreProperties>
</file>